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keepLines/>
        <w:pageBreakBefore w:val="0"/>
        <w:widowControl w:val="0"/>
        <w:kinsoku/>
        <w:wordWrap/>
        <w:overflowPunct/>
        <w:topLinePunct w:val="0"/>
        <w:autoSpaceDE/>
        <w:autoSpaceDN/>
        <w:bidi w:val="0"/>
        <w:adjustRightInd/>
        <w:snapToGrid/>
        <w:spacing w:before="0" w:after="0" w:line="480" w:lineRule="exact"/>
        <w:jc w:val="center"/>
        <w:textAlignment w:val="auto"/>
        <w:rPr>
          <w:rFonts w:ascii="方正小标宋简体" w:hAnsi="方正小标宋简体" w:eastAsia="方正小标宋简体" w:cs="方正小标宋简体"/>
          <w:b w:val="0"/>
          <w:bCs/>
          <w:color w:val="000000" w:themeColor="text1"/>
          <w:szCs w:val="22"/>
          <w14:textFill>
            <w14:solidFill>
              <w14:schemeClr w14:val="tx1"/>
            </w14:solidFill>
          </w14:textFill>
        </w:rPr>
      </w:pPr>
      <w:bookmarkStart w:id="1" w:name="_GoBack"/>
      <w:bookmarkStart w:id="0" w:name="_Toc32574"/>
      <w:r>
        <w:rPr>
          <w:rFonts w:hint="eastAsia" w:ascii="方正小标宋简体" w:hAnsi="方正小标宋简体" w:eastAsia="方正小标宋简体" w:cs="方正小标宋简体"/>
          <w:b w:val="0"/>
          <w:bCs/>
          <w:color w:val="000000" w:themeColor="text1"/>
          <w:szCs w:val="22"/>
          <w14:textFill>
            <w14:solidFill>
              <w14:schemeClr w14:val="tx1"/>
            </w14:solidFill>
          </w14:textFill>
        </w:rPr>
        <w:t>海南省引进人才落户实施办法</w:t>
      </w:r>
      <w:bookmarkEnd w:id="0"/>
    </w:p>
    <w:bookmarkEnd w:id="1"/>
    <w:p>
      <w:pPr>
        <w:pageBreakBefore w:val="0"/>
        <w:kinsoku/>
        <w:overflowPunct/>
        <w:topLinePunct w:val="0"/>
        <w:autoSpaceDE/>
        <w:autoSpaceDN/>
        <w:bidi w:val="0"/>
        <w:adjustRightInd/>
        <w:spacing w:line="440" w:lineRule="exact"/>
        <w:jc w:val="center"/>
        <w:rPr>
          <w:rFonts w:ascii="方正小标宋简体" w:hAnsi="方正小标宋简体" w:eastAsia="方正小标宋简体" w:cs="方正小标宋简体"/>
          <w:color w:val="000000" w:themeColor="text1"/>
          <w:sz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14:textFill>
            <w14:solidFill>
              <w14:schemeClr w14:val="tx1"/>
            </w14:solidFill>
          </w14:textFill>
        </w:rPr>
        <w:t>琼府〔2017〕66号</w:t>
      </w:r>
    </w:p>
    <w:p>
      <w:pPr>
        <w:pageBreakBefore w:val="0"/>
        <w:kinsoku/>
        <w:overflowPunct/>
        <w:topLinePunct w:val="0"/>
        <w:autoSpaceDE/>
        <w:autoSpaceDN/>
        <w:bidi w:val="0"/>
        <w:adjustRightInd/>
        <w:spacing w:line="440" w:lineRule="exact"/>
        <w:rPr>
          <w:color w:val="000000" w:themeColor="text1"/>
          <w14:textFill>
            <w14:solidFill>
              <w14:schemeClr w14:val="tx1"/>
            </w14:solidFill>
          </w14:textFill>
        </w:rPr>
      </w:pP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hint="eastAsia" w:ascii="仿宋" w:hAnsi="仿宋" w:eastAsia="仿宋"/>
          <w:color w:val="000000" w:themeColor="text1"/>
          <w:sz w:val="32"/>
          <w14:textFill>
            <w14:solidFill>
              <w14:schemeClr w14:val="tx1"/>
            </w14:solidFill>
          </w14:textFill>
        </w:rPr>
        <w:t xml:space="preserve">    </w:t>
      </w:r>
      <w:r>
        <w:rPr>
          <w:rFonts w:hint="eastAsia" w:ascii="仿宋" w:hAnsi="仿宋" w:eastAsia="仿宋"/>
          <w:b/>
          <w:color w:val="000000" w:themeColor="text1"/>
          <w:sz w:val="32"/>
          <w14:textFill>
            <w14:solidFill>
              <w14:schemeClr w14:val="tx1"/>
            </w14:solidFill>
          </w14:textFill>
        </w:rPr>
        <w:t>第一条</w:t>
      </w:r>
      <w:r>
        <w:rPr>
          <w:rFonts w:hint="eastAsia" w:ascii="仿宋" w:hAnsi="仿宋" w:eastAsia="仿宋"/>
          <w:color w:val="000000" w:themeColor="text1"/>
          <w:sz w:val="32"/>
          <w14:textFill>
            <w14:solidFill>
              <w14:schemeClr w14:val="tx1"/>
            </w14:solidFill>
          </w14:textFill>
        </w:rPr>
        <w:t xml:space="preserve"> 为贯彻落实人才强省战略，加大人才引进力度，畅通人才落户渠道，根据《海南省人民政府关于进一步推进户籍制度改革的实施意见》（琼府〔2015〕113号）精神，制定本办法。</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第二条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本办法所称的引进人才，是指适应本省经济和社会发展需要，从省外引进的具有一定知识或技能的各类人才。</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第三条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本省新引进人才落户按本办法执行。本办法实施前的引进人才尚未办理落户的，可参照本办法申请落户。</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color w:val="000000" w:themeColor="text1"/>
          <w:sz w:val="32"/>
          <w14:textFill>
            <w14:solidFill>
              <w14:schemeClr w14:val="tx1"/>
            </w14:solidFill>
          </w14:textFill>
        </w:rPr>
        <w:t>机关事业单位在编制内引进</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调入</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人才落户，按现行调动落户政策执行。</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第四条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符合下列条件之一的人才，年龄在</w:t>
      </w:r>
      <w:r>
        <w:rPr>
          <w:rFonts w:ascii="仿宋" w:hAnsi="仿宋" w:eastAsia="仿宋"/>
          <w:color w:val="000000" w:themeColor="text1"/>
          <w:sz w:val="32"/>
          <w14:textFill>
            <w14:solidFill>
              <w14:schemeClr w14:val="tx1"/>
            </w14:solidFill>
          </w14:textFill>
        </w:rPr>
        <w:t>55</w:t>
      </w:r>
      <w:r>
        <w:rPr>
          <w:rFonts w:hint="eastAsia" w:ascii="仿宋" w:hAnsi="仿宋" w:eastAsia="仿宋"/>
          <w:color w:val="000000" w:themeColor="text1"/>
          <w:sz w:val="32"/>
          <w14:textFill>
            <w14:solidFill>
              <w14:schemeClr w14:val="tx1"/>
            </w14:solidFill>
          </w14:textFill>
        </w:rPr>
        <w:t>周岁以下的，可选择在本省任一城镇申请落户：</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按本省有关规定认定的高层次人才</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二</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具有硕士以上学位的人才</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三</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具有高级专业技术资格、高级技师职业资格的人才</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四</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上年度工资性收入达到</w:t>
      </w:r>
      <w:r>
        <w:rPr>
          <w:rFonts w:ascii="仿宋" w:hAnsi="仿宋" w:eastAsia="仿宋"/>
          <w:color w:val="000000" w:themeColor="text1"/>
          <w:sz w:val="32"/>
          <w14:textFill>
            <w14:solidFill>
              <w14:schemeClr w14:val="tx1"/>
            </w14:solidFill>
          </w14:textFill>
        </w:rPr>
        <w:t>30</w:t>
      </w:r>
      <w:r>
        <w:rPr>
          <w:rFonts w:hint="eastAsia" w:ascii="仿宋" w:hAnsi="仿宋" w:eastAsia="仿宋"/>
          <w:color w:val="000000" w:themeColor="text1"/>
          <w:sz w:val="32"/>
          <w14:textFill>
            <w14:solidFill>
              <w14:schemeClr w14:val="tx1"/>
            </w14:solidFill>
          </w14:textFill>
        </w:rPr>
        <w:t>万元以上，且年缴纳个人所得税达到</w:t>
      </w:r>
      <w:r>
        <w:rPr>
          <w:rFonts w:ascii="仿宋" w:hAnsi="仿宋" w:eastAsia="仿宋"/>
          <w:color w:val="000000" w:themeColor="text1"/>
          <w:sz w:val="32"/>
          <w14:textFill>
            <w14:solidFill>
              <w14:schemeClr w14:val="tx1"/>
            </w14:solidFill>
          </w14:textFill>
        </w:rPr>
        <w:t>5</w:t>
      </w:r>
      <w:r>
        <w:rPr>
          <w:rFonts w:hint="eastAsia" w:ascii="仿宋" w:hAnsi="仿宋" w:eastAsia="仿宋"/>
          <w:color w:val="000000" w:themeColor="text1"/>
          <w:sz w:val="32"/>
          <w14:textFill>
            <w14:solidFill>
              <w14:schemeClr w14:val="tx1"/>
            </w14:solidFill>
          </w14:textFill>
        </w:rPr>
        <w:t>万元以上的来本省就业人才。上述标准随本省人均工资水平变化适时调整</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五</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拥有能够促进企业自主创新、技术升级的重大科研成果，在本省所聘用企业以技术入股，入股估值不低于</w:t>
      </w:r>
      <w:r>
        <w:rPr>
          <w:rFonts w:ascii="仿宋" w:hAnsi="仿宋" w:eastAsia="仿宋"/>
          <w:color w:val="000000" w:themeColor="text1"/>
          <w:sz w:val="32"/>
          <w14:textFill>
            <w14:solidFill>
              <w14:schemeClr w14:val="tx1"/>
            </w14:solidFill>
          </w14:textFill>
        </w:rPr>
        <w:t>150</w:t>
      </w:r>
      <w:r>
        <w:rPr>
          <w:rFonts w:hint="eastAsia" w:ascii="仿宋" w:hAnsi="仿宋" w:eastAsia="仿宋"/>
          <w:color w:val="000000" w:themeColor="text1"/>
          <w:sz w:val="32"/>
          <w14:textFill>
            <w14:solidFill>
              <w14:schemeClr w14:val="tx1"/>
            </w14:solidFill>
          </w14:textFill>
        </w:rPr>
        <w:t>万元、占股不低于注册资本</w:t>
      </w:r>
      <w:r>
        <w:rPr>
          <w:rFonts w:ascii="仿宋" w:hAnsi="仿宋" w:eastAsia="仿宋"/>
          <w:color w:val="000000" w:themeColor="text1"/>
          <w:sz w:val="32"/>
          <w14:textFill>
            <w14:solidFill>
              <w14:schemeClr w14:val="tx1"/>
            </w14:solidFill>
          </w14:textFill>
        </w:rPr>
        <w:t>10%</w:t>
      </w:r>
      <w:r>
        <w:rPr>
          <w:rFonts w:hint="eastAsia" w:ascii="仿宋" w:hAnsi="仿宋" w:eastAsia="仿宋"/>
          <w:color w:val="000000" w:themeColor="text1"/>
          <w:sz w:val="32"/>
          <w14:textFill>
            <w14:solidFill>
              <w14:schemeClr w14:val="tx1"/>
            </w14:solidFill>
          </w14:textFill>
        </w:rPr>
        <w:t>的创新人才</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六</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在本省领办、创办企业，其产品符合本省</w:t>
      </w:r>
      <w:r>
        <w:rPr>
          <w:rFonts w:ascii="仿宋" w:hAnsi="仿宋" w:eastAsia="仿宋"/>
          <w:color w:val="000000" w:themeColor="text1"/>
          <w:sz w:val="32"/>
          <w14:textFill>
            <w14:solidFill>
              <w14:schemeClr w14:val="tx1"/>
            </w14:solidFill>
          </w14:textFill>
        </w:rPr>
        <w:t>12</w:t>
      </w:r>
      <w:r>
        <w:rPr>
          <w:rFonts w:hint="eastAsia" w:ascii="仿宋" w:hAnsi="仿宋" w:eastAsia="仿宋"/>
          <w:color w:val="000000" w:themeColor="text1"/>
          <w:sz w:val="32"/>
          <w14:textFill>
            <w14:solidFill>
              <w14:schemeClr w14:val="tx1"/>
            </w14:solidFill>
          </w14:textFill>
        </w:rPr>
        <w:t>个重点产业支持方向，并为所在企业的主要创办人，且个人实际出资不少于</w:t>
      </w:r>
      <w:r>
        <w:rPr>
          <w:rFonts w:ascii="仿宋" w:hAnsi="仿宋" w:eastAsia="仿宋"/>
          <w:color w:val="000000" w:themeColor="text1"/>
          <w:sz w:val="32"/>
          <w14:textFill>
            <w14:solidFill>
              <w14:schemeClr w14:val="tx1"/>
            </w14:solidFill>
          </w14:textFill>
        </w:rPr>
        <w:t>150</w:t>
      </w:r>
      <w:r>
        <w:rPr>
          <w:rFonts w:hint="eastAsia" w:ascii="仿宋" w:hAnsi="仿宋" w:eastAsia="仿宋"/>
          <w:color w:val="000000" w:themeColor="text1"/>
          <w:sz w:val="32"/>
          <w14:textFill>
            <w14:solidFill>
              <w14:schemeClr w14:val="tx1"/>
            </w14:solidFill>
          </w14:textFill>
        </w:rPr>
        <w:t>万元</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不含技术入股</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的创业人才</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七</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教育部“</w:t>
      </w:r>
      <w:r>
        <w:rPr>
          <w:rFonts w:ascii="仿宋" w:hAnsi="仿宋" w:eastAsia="仿宋"/>
          <w:color w:val="000000" w:themeColor="text1"/>
          <w:sz w:val="32"/>
          <w14:textFill>
            <w14:solidFill>
              <w14:schemeClr w14:val="tx1"/>
            </w14:solidFill>
          </w14:textFill>
        </w:rPr>
        <w:t>985</w:t>
      </w:r>
      <w:r>
        <w:rPr>
          <w:rFonts w:hint="eastAsia" w:ascii="仿宋" w:hAnsi="仿宋" w:eastAsia="仿宋"/>
          <w:color w:val="000000" w:themeColor="text1"/>
          <w:sz w:val="32"/>
          <w14:textFill>
            <w14:solidFill>
              <w14:schemeClr w14:val="tx1"/>
            </w14:solidFill>
          </w14:textFill>
        </w:rPr>
        <w:t>工程”“</w:t>
      </w:r>
      <w:r>
        <w:rPr>
          <w:rFonts w:ascii="仿宋" w:hAnsi="仿宋" w:eastAsia="仿宋"/>
          <w:color w:val="000000" w:themeColor="text1"/>
          <w:sz w:val="32"/>
          <w14:textFill>
            <w14:solidFill>
              <w14:schemeClr w14:val="tx1"/>
            </w14:solidFill>
          </w14:textFill>
        </w:rPr>
        <w:t>211</w:t>
      </w:r>
      <w:r>
        <w:rPr>
          <w:rFonts w:hint="eastAsia" w:ascii="仿宋" w:hAnsi="仿宋" w:eastAsia="仿宋"/>
          <w:color w:val="000000" w:themeColor="text1"/>
          <w:sz w:val="32"/>
          <w14:textFill>
            <w14:solidFill>
              <w14:schemeClr w14:val="tx1"/>
            </w14:solidFill>
          </w14:textFill>
        </w:rPr>
        <w:t>工程”高校本科应届毕业生。</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第五条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符合下列条件之一的人才，年龄在</w:t>
      </w:r>
      <w:r>
        <w:rPr>
          <w:rFonts w:ascii="仿宋" w:hAnsi="仿宋" w:eastAsia="仿宋"/>
          <w:color w:val="000000" w:themeColor="text1"/>
          <w:sz w:val="32"/>
          <w14:textFill>
            <w14:solidFill>
              <w14:schemeClr w14:val="tx1"/>
            </w14:solidFill>
          </w14:textFill>
        </w:rPr>
        <w:t>40</w:t>
      </w:r>
      <w:r>
        <w:rPr>
          <w:rFonts w:hint="eastAsia" w:ascii="仿宋" w:hAnsi="仿宋" w:eastAsia="仿宋"/>
          <w:color w:val="000000" w:themeColor="text1"/>
          <w:sz w:val="32"/>
          <w14:textFill>
            <w14:solidFill>
              <w14:schemeClr w14:val="tx1"/>
            </w14:solidFill>
          </w14:textFill>
        </w:rPr>
        <w:t>周岁以下，且在本省领办、创办企业或与本省各类用人单位签订</w:t>
      </w:r>
      <w:r>
        <w:rPr>
          <w:rFonts w:ascii="仿宋" w:hAnsi="仿宋" w:eastAsia="仿宋"/>
          <w:color w:val="000000" w:themeColor="text1"/>
          <w:sz w:val="32"/>
          <w14:textFill>
            <w14:solidFill>
              <w14:schemeClr w14:val="tx1"/>
            </w14:solidFill>
          </w14:textFill>
        </w:rPr>
        <w:t>3</w:t>
      </w:r>
      <w:r>
        <w:rPr>
          <w:rFonts w:hint="eastAsia" w:ascii="仿宋" w:hAnsi="仿宋" w:eastAsia="仿宋"/>
          <w:color w:val="000000" w:themeColor="text1"/>
          <w:sz w:val="32"/>
          <w14:textFill>
            <w14:solidFill>
              <w14:schemeClr w14:val="tx1"/>
            </w14:solidFill>
          </w14:textFill>
        </w:rPr>
        <w:t>年以上期限的劳动合同，可选择在工作地或实际居住地申请落户：</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近</w:t>
      </w:r>
      <w:r>
        <w:rPr>
          <w:rFonts w:ascii="仿宋" w:hAnsi="仿宋" w:eastAsia="仿宋"/>
          <w:color w:val="000000" w:themeColor="text1"/>
          <w:sz w:val="32"/>
          <w14:textFill>
            <w14:solidFill>
              <w14:schemeClr w14:val="tx1"/>
            </w14:solidFill>
          </w14:textFill>
        </w:rPr>
        <w:t>3</w:t>
      </w:r>
      <w:r>
        <w:rPr>
          <w:rFonts w:hint="eastAsia" w:ascii="仿宋" w:hAnsi="仿宋" w:eastAsia="仿宋"/>
          <w:color w:val="000000" w:themeColor="text1"/>
          <w:sz w:val="32"/>
          <w14:textFill>
            <w14:solidFill>
              <w14:schemeClr w14:val="tx1"/>
            </w14:solidFill>
          </w14:textFill>
        </w:rPr>
        <w:t>年内获得各类省级以上政府或行业主管部门颁发的创新创业奖项的人才，获得国家级职业技能竞赛个人项目奖项</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不含荣誉奖</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及省级职业技能竞赛个人一等奖以上的人才</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二</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具有全日制普通大专及以上学历，或中级专业技术及以上技术职称、技师及以上职业资格的人才。</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第六条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符合下列条件之一的人才，可在本市县工作地或实际居住地申请落户：</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在引进市县领办、创办科技型企业，对当地产业发展起到一定引领作用的创新创业人才</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二</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在引进市县同一用人单位工作满</w:t>
      </w:r>
      <w:r>
        <w:rPr>
          <w:rFonts w:ascii="仿宋" w:hAnsi="仿宋" w:eastAsia="仿宋"/>
          <w:color w:val="000000" w:themeColor="text1"/>
          <w:sz w:val="32"/>
          <w14:textFill>
            <w14:solidFill>
              <w14:schemeClr w14:val="tx1"/>
            </w14:solidFill>
          </w14:textFill>
        </w:rPr>
        <w:t>1</w:t>
      </w:r>
      <w:r>
        <w:rPr>
          <w:rFonts w:hint="eastAsia" w:ascii="仿宋" w:hAnsi="仿宋" w:eastAsia="仿宋"/>
          <w:color w:val="000000" w:themeColor="text1"/>
          <w:sz w:val="32"/>
          <w14:textFill>
            <w14:solidFill>
              <w14:schemeClr w14:val="tx1"/>
            </w14:solidFill>
          </w14:textFill>
        </w:rPr>
        <w:t>年，且继续与该用人单位签订</w:t>
      </w:r>
      <w:r>
        <w:rPr>
          <w:rFonts w:ascii="仿宋" w:hAnsi="仿宋" w:eastAsia="仿宋"/>
          <w:color w:val="000000" w:themeColor="text1"/>
          <w:sz w:val="32"/>
          <w14:textFill>
            <w14:solidFill>
              <w14:schemeClr w14:val="tx1"/>
            </w14:solidFill>
          </w14:textFill>
        </w:rPr>
        <w:t>3</w:t>
      </w:r>
      <w:r>
        <w:rPr>
          <w:rFonts w:hint="eastAsia" w:ascii="仿宋" w:hAnsi="仿宋" w:eastAsia="仿宋"/>
          <w:color w:val="000000" w:themeColor="text1"/>
          <w:sz w:val="32"/>
          <w14:textFill>
            <w14:solidFill>
              <w14:schemeClr w14:val="tx1"/>
            </w14:solidFill>
          </w14:textFill>
        </w:rPr>
        <w:t>年以上期限的劳动合同，符合引进市县经济社会发展需要的紧缺急需、特殊才能的人才。</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第七条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本办法第四条第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五</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六</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的创新、创业人才由市县行业主管部门受理、初审，省级行业主管部门审核确认。省级行业主管部门应围绕我省重点发展产业，根据各自领域发展需要，制定认定实施细则，组织实施本行业创新创业人才的认定工作。</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color w:val="000000" w:themeColor="text1"/>
          <w:sz w:val="32"/>
          <w14:textFill>
            <w14:solidFill>
              <w14:schemeClr w14:val="tx1"/>
            </w14:solidFill>
          </w14:textFill>
        </w:rPr>
        <w:t>本办法第六条规定人才由市县人力资源社会保障部门受理，会同行业主管部门审核，报市县人民政府确认。市县人民政府应根据经济发展需要，编制并公告本市县创新创业和紧缺急需、特殊才能人才需求目录及具体条件。需求目录和具体条件，可根据发展需要适时调整，并及时公告。</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第八条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引进人才落户，其共同居住生活的配偶、未成年子女、父母可随迁。</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第九条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引进人才根据条件要求，分别持下列证明资料向拟落户所在地公安派出所或办证中心提出落户申请：</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eastAsia="仿宋"/>
          <w:color w:val="000000" w:themeColor="text1"/>
          <w:sz w:val="32"/>
          <w14:textFill>
            <w14:solidFill>
              <w14:schemeClr w14:val="tx1"/>
            </w14:solidFill>
          </w14:textFill>
        </w:rPr>
        <w:t xml:space="preserve">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符合本办法第四条第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项规定条件的人才：高层次人才认定的证明资料</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二</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符合本办法第四条第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二</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三</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七</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项规定条件的人才：学历证书或技术职称证书、职业资格证书</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eastAsia="仿宋"/>
          <w:color w:val="000000" w:themeColor="text1"/>
          <w:sz w:val="32"/>
          <w14:textFill>
            <w14:solidFill>
              <w14:schemeClr w14:val="tx1"/>
            </w14:solidFill>
          </w14:textFill>
        </w:rPr>
        <w:t xml:space="preserve"> </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三</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符合本办法第四条第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四</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项规定条件的人才：上年度工资性收入证明资料及缴纳个人所得税凭证</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四</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符合本办法第四条第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五</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六</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项规定条件的人才：省级行业主管部门的确认意见书</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五</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符合本办法第五条第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项规定条件的人才：创新创业、职业技能竞赛获奖证书及法人登记证书或劳动合同文本</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六</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符合本办法第五条第</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二</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项规定条件的人才：学历证书或职称证书、职业资格证书及法人登记证书或劳动合同文本</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七</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符合本办法第六条规定条件的人才：市县人民政府的确认意见书。</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第十条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人才落户登记由拟落户所在地市县公安局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分局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按以下三种情况办理：</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color w:val="000000" w:themeColor="text1"/>
          <w:sz w:val="32"/>
          <w14:textFill>
            <w14:solidFill>
              <w14:schemeClr w14:val="tx1"/>
            </w14:solidFill>
          </w14:textFill>
        </w:rPr>
        <w:t>一</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落户地有合法稳定住所的，在实际居住地办理户口登记</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color w:val="000000" w:themeColor="text1"/>
          <w:sz w:val="32"/>
          <w14:textFill>
            <w14:solidFill>
              <w14:schemeClr w14:val="tx1"/>
            </w14:solidFill>
          </w14:textFill>
        </w:rPr>
        <w:t>二</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落户地无合法稳定住所但工作单位设立集体户的，在单位集体户落户</w:t>
      </w:r>
      <w:r>
        <w:rPr>
          <w:rFonts w:ascii="仿宋" w:hAnsi="仿宋" w:eastAsia="仿宋"/>
          <w:color w:val="000000" w:themeColor="text1"/>
          <w:sz w:val="32"/>
          <w14:textFill>
            <w14:solidFill>
              <w14:schemeClr w14:val="tx1"/>
            </w14:solidFill>
          </w14:textFill>
        </w:rPr>
        <w:t>；</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color w:val="000000" w:themeColor="text1"/>
          <w:sz w:val="32"/>
          <w14:textFill>
            <w14:solidFill>
              <w14:schemeClr w14:val="tx1"/>
            </w14:solidFill>
          </w14:textFill>
        </w:rPr>
        <w:t>三</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落户地无合法稳定住所且无单位或单位未设立集体户的，在公安机关设立的社区集体户落户；档案在人力资源社会保障机构人事代理的，也可在人力资源社会保障机构设立的集体户落户。</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第十一条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以上各条所涉及年龄、劳动合同期限、工资性收入等条件计算的基准日为申请落户之日。</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第十二条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申请落户时伪造或提供虚假证明资料，一经审查发现，责任方为用人单位的，将用人单位列入本省不诚信企业黑名单</w:t>
      </w:r>
      <w:r>
        <w:rPr>
          <w:rFonts w:ascii="仿宋" w:hAnsi="仿宋" w:eastAsia="仿宋"/>
          <w:color w:val="000000" w:themeColor="text1"/>
          <w:sz w:val="32"/>
          <w14:textFill>
            <w14:solidFill>
              <w14:schemeClr w14:val="tx1"/>
            </w14:solidFill>
          </w14:textFill>
        </w:rPr>
        <w:t>；</w:t>
      </w:r>
      <w:r>
        <w:rPr>
          <w:rFonts w:hint="eastAsia" w:ascii="仿宋" w:hAnsi="仿宋" w:eastAsia="仿宋"/>
          <w:color w:val="000000" w:themeColor="text1"/>
          <w:sz w:val="32"/>
          <w14:textFill>
            <w14:solidFill>
              <w14:schemeClr w14:val="tx1"/>
            </w14:solidFill>
          </w14:textFill>
        </w:rPr>
        <w:t>责任方为拟引进人才的，对该个人不予办理落户，已办理落户的，将户口退回原户口迁出地。构成违法犯罪的，依法追究相关法律责任。</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第十三条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各有关部门应完善人才落户工作机制，简化优化办理程序，开通人才落户绿色通道，为人才落户提供高效便捷服务，不得增设额外条件和程序，不得以任何理由拒绝或延误引进人才办理落户。</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第十四条</w:t>
      </w:r>
      <w:r>
        <w:rPr>
          <w:rFonts w:ascii="仿宋" w:hAnsi="仿宋" w:eastAsia="仿宋"/>
          <w:b/>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省人力资源社会保障厅、省公安厅要加强对人才落户工作的业务指导和监督检查。</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第十五条</w:t>
      </w:r>
      <w:r>
        <w:rPr>
          <w:rFonts w:ascii="仿宋" w:hAnsi="仿宋" w:eastAsia="仿宋"/>
          <w:b/>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本办法由省人力资源社会保障厅负责解释，各市县政府、各部门可根据实际情况制定实施细则。</w:t>
      </w:r>
    </w:p>
    <w:p>
      <w:pPr>
        <w:pageBreakBefore w:val="0"/>
        <w:kinsoku/>
        <w:overflowPunct/>
        <w:topLinePunct w:val="0"/>
        <w:autoSpaceDE/>
        <w:autoSpaceDN/>
        <w:bidi w:val="0"/>
        <w:adjustRightInd/>
        <w:spacing w:line="440" w:lineRule="exact"/>
        <w:rPr>
          <w:rFonts w:ascii="仿宋" w:hAnsi="仿宋" w:eastAsia="仿宋"/>
          <w:color w:val="000000" w:themeColor="text1"/>
          <w:sz w:val="32"/>
          <w14:textFill>
            <w14:solidFill>
              <w14:schemeClr w14:val="tx1"/>
            </w14:solidFill>
          </w14:textFill>
        </w:rPr>
      </w:pPr>
      <w:r>
        <w:rPr>
          <w:rFonts w:ascii="仿宋" w:hAnsi="仿宋" w:eastAsia="仿宋"/>
          <w:color w:val="000000" w:themeColor="text1"/>
          <w:sz w:val="32"/>
          <w14:textFill>
            <w14:solidFill>
              <w14:schemeClr w14:val="tx1"/>
            </w14:solidFill>
          </w14:textFill>
        </w:rPr>
        <w:t>  </w:t>
      </w:r>
      <w:r>
        <w:rPr>
          <w:rFonts w:hint="eastAsia" w:ascii="仿宋" w:hAnsi="仿宋" w:eastAsia="仿宋"/>
          <w:b/>
          <w:color w:val="000000" w:themeColor="text1"/>
          <w:sz w:val="32"/>
          <w14:textFill>
            <w14:solidFill>
              <w14:schemeClr w14:val="tx1"/>
            </w14:solidFill>
          </w14:textFill>
        </w:rPr>
        <w:t>第十六条</w:t>
      </w:r>
      <w:r>
        <w:rPr>
          <w:rFonts w:ascii="仿宋" w:hAnsi="仿宋" w:eastAsia="仿宋"/>
          <w:color w:val="000000" w:themeColor="text1"/>
          <w:sz w:val="32"/>
          <w14:textFill>
            <w14:solidFill>
              <w14:schemeClr w14:val="tx1"/>
            </w14:solidFill>
          </w14:textFill>
        </w:rPr>
        <w:t xml:space="preserve"> </w:t>
      </w:r>
      <w:r>
        <w:rPr>
          <w:rFonts w:hint="eastAsia" w:ascii="仿宋" w:hAnsi="仿宋" w:eastAsia="仿宋"/>
          <w:color w:val="000000" w:themeColor="text1"/>
          <w:sz w:val="32"/>
          <w14:textFill>
            <w14:solidFill>
              <w14:schemeClr w14:val="tx1"/>
            </w14:solidFill>
          </w14:textFill>
        </w:rPr>
        <w:t>本办法自印发之日起实施。</w:t>
      </w:r>
    </w:p>
    <w:p>
      <w:pPr>
        <w:pageBreakBefore w:val="0"/>
        <w:kinsoku/>
        <w:overflowPunct/>
        <w:topLinePunct w:val="0"/>
        <w:autoSpaceDE/>
        <w:autoSpaceDN/>
        <w:bidi w:val="0"/>
        <w:adjustRightInd/>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CC0114"/>
    <w:rsid w:val="2ECC01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2020-10-20T10:02:00Z</dcterms:created>
  <dc:creator>Administrator</dc:creator>
  <cp:lastModifiedBy>Administrator</cp:lastModifiedBy>
  <dcterms:modified xsi:type="dcterms:W3CDTF">2020-10-20T10:03:10Z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